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8647"/>
      </w:tblGrid>
      <w:tr w:rsidR="003A6157" w:rsidRPr="003A6157" w:rsidTr="0080109B">
        <w:trPr>
          <w:trHeight w:val="2835"/>
        </w:trPr>
        <w:tc>
          <w:tcPr>
            <w:tcW w:w="8647" w:type="dxa"/>
            <w:tcBorders>
              <w:bottom w:val="single" w:sz="8" w:space="0" w:color="auto"/>
            </w:tcBorders>
          </w:tcPr>
          <w:p w:rsidR="003A6157" w:rsidRPr="003A6157" w:rsidRDefault="003A6157" w:rsidP="003C0432">
            <w:pPr>
              <w:pStyle w:val="Textkrper"/>
            </w:pPr>
          </w:p>
        </w:tc>
      </w:tr>
      <w:tr w:rsidR="003A6157" w:rsidRPr="004355E1" w:rsidTr="0080109B">
        <w:trPr>
          <w:trHeight w:hRule="exact" w:val="1134"/>
        </w:trPr>
        <w:tc>
          <w:tcPr>
            <w:tcW w:w="86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A6157" w:rsidRPr="004355E1" w:rsidRDefault="008522B5" w:rsidP="0080109B">
            <w:pPr>
              <w:pStyle w:val="Textkrper"/>
              <w:rPr>
                <w:b/>
                <w:sz w:val="40"/>
              </w:rPr>
            </w:pPr>
            <w:r>
              <w:rPr>
                <w:b/>
                <w:sz w:val="40"/>
              </w:rPr>
              <w:t>Gesetz über die Abfallentsorgung</w:t>
            </w:r>
          </w:p>
        </w:tc>
      </w:tr>
      <w:tr w:rsidR="003A6157" w:rsidRPr="003A6157" w:rsidTr="0080109B">
        <w:trPr>
          <w:trHeight w:val="5670"/>
        </w:trPr>
        <w:tc>
          <w:tcPr>
            <w:tcW w:w="8647" w:type="dxa"/>
            <w:tcBorders>
              <w:top w:val="single" w:sz="8" w:space="0" w:color="auto"/>
            </w:tcBorders>
          </w:tcPr>
          <w:p w:rsidR="003A6157" w:rsidRPr="003A6157" w:rsidRDefault="003A6157" w:rsidP="00ED3FF0">
            <w:pPr>
              <w:rPr>
                <w:rFonts w:asciiTheme="minorHAnsi" w:hAnsiTheme="minorHAnsi"/>
              </w:rPr>
            </w:pPr>
          </w:p>
        </w:tc>
      </w:tr>
      <w:tr w:rsidR="003A6157" w:rsidRPr="003A6157" w:rsidTr="008B26E4">
        <w:tc>
          <w:tcPr>
            <w:tcW w:w="8647" w:type="dxa"/>
          </w:tcPr>
          <w:p w:rsidR="003A6157" w:rsidRPr="003A6157" w:rsidRDefault="008522B5" w:rsidP="003A6157">
            <w:pPr>
              <w:ind w:left="286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Vom 31. August 2001</w:t>
            </w:r>
          </w:p>
        </w:tc>
      </w:tr>
      <w:tr w:rsidR="003A6157" w:rsidRPr="003A6157" w:rsidTr="008B26E4">
        <w:tc>
          <w:tcPr>
            <w:tcW w:w="8647" w:type="dxa"/>
          </w:tcPr>
          <w:p w:rsidR="003A6157" w:rsidRPr="003A6157" w:rsidRDefault="00365B4B" w:rsidP="003A6157">
            <w:pPr>
              <w:ind w:left="286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Revidiert am 3. Dezember 2015</w:t>
            </w:r>
          </w:p>
        </w:tc>
      </w:tr>
      <w:tr w:rsidR="001D1AC0" w:rsidRPr="003A6157" w:rsidTr="008B26E4">
        <w:tc>
          <w:tcPr>
            <w:tcW w:w="8647" w:type="dxa"/>
          </w:tcPr>
          <w:p w:rsidR="001D1AC0" w:rsidRPr="003A6157" w:rsidRDefault="001D1AC0" w:rsidP="003A6157">
            <w:pPr>
              <w:ind w:left="2869"/>
              <w:rPr>
                <w:rFonts w:asciiTheme="minorHAnsi" w:hAnsiTheme="minorHAnsi"/>
              </w:rPr>
            </w:pPr>
          </w:p>
        </w:tc>
      </w:tr>
    </w:tbl>
    <w:p w:rsidR="008C40EA" w:rsidRDefault="008C40EA">
      <w:pPr>
        <w:rPr>
          <w:rFonts w:asciiTheme="minorHAnsi" w:hAnsiTheme="minorHAnsi"/>
        </w:rPr>
        <w:sectPr w:rsidR="008C40EA" w:rsidSect="003A2D84">
          <w:headerReference w:type="first" r:id="rId8"/>
          <w:pgSz w:w="11906" w:h="16838" w:code="9"/>
          <w:pgMar w:top="1134" w:right="1418" w:bottom="1418" w:left="1814" w:header="709" w:footer="709" w:gutter="0"/>
          <w:cols w:space="708"/>
          <w:titlePg/>
          <w:docGrid w:linePitch="360"/>
        </w:sectPr>
      </w:pPr>
    </w:p>
    <w:sdt>
      <w:sdtPr>
        <w:rPr>
          <w:rFonts w:eastAsia="Times New Roman" w:cs="Times New Roman"/>
          <w:sz w:val="24"/>
          <w:szCs w:val="20"/>
          <w:lang w:val="de-DE"/>
        </w:rPr>
        <w:id w:val="-5945579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03C8E" w:rsidRDefault="00203C8E" w:rsidP="00203C8E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E67A1">
            <w:rPr>
              <w:noProof/>
            </w:rPr>
            <w:fldChar w:fldCharType="begin"/>
          </w:r>
          <w:r w:rsidR="00203C8E">
            <w:instrText xml:space="preserve"> TOC \o "1-3" \h \z \u </w:instrText>
          </w:r>
          <w:r w:rsidRPr="00CE67A1">
            <w:rPr>
              <w:noProof/>
            </w:rPr>
            <w:fldChar w:fldCharType="separate"/>
          </w:r>
          <w:hyperlink w:anchor="_Toc434998111" w:history="1">
            <w:r w:rsidR="008522B5" w:rsidRPr="00810074">
              <w:rPr>
                <w:rStyle w:val="Hyperlink"/>
                <w:noProof/>
              </w:rPr>
              <w:t>Art. 1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Allgemeine Bestimmungen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12" w:history="1">
            <w:r w:rsidR="008522B5" w:rsidRPr="00810074">
              <w:rPr>
                <w:rStyle w:val="Hyperlink"/>
                <w:noProof/>
              </w:rPr>
              <w:t>Art. 2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Grundsätze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13" w:history="1">
            <w:r w:rsidR="008522B5" w:rsidRPr="00810074">
              <w:rPr>
                <w:rStyle w:val="Hyperlink"/>
                <w:noProof/>
              </w:rPr>
              <w:t>Art. 3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Sonderabfälle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14" w:history="1">
            <w:r w:rsidR="008522B5" w:rsidRPr="00810074">
              <w:rPr>
                <w:rStyle w:val="Hyperlink"/>
                <w:noProof/>
              </w:rPr>
              <w:t>Art. 4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Verursacherprinzip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15" w:history="1">
            <w:r w:rsidR="008522B5" w:rsidRPr="00810074">
              <w:rPr>
                <w:rStyle w:val="Hyperlink"/>
                <w:noProof/>
              </w:rPr>
              <w:t>Art. 5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Gebühren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16" w:history="1">
            <w:r w:rsidR="008522B5" w:rsidRPr="00810074">
              <w:rPr>
                <w:rStyle w:val="Hyperlink"/>
                <w:noProof/>
              </w:rPr>
              <w:t>Art. 6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Bereitstellung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17" w:history="1">
            <w:r w:rsidR="008522B5" w:rsidRPr="00810074">
              <w:rPr>
                <w:rStyle w:val="Hyperlink"/>
                <w:noProof/>
              </w:rPr>
              <w:t>Art. 7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Sperrgut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18" w:history="1">
            <w:r w:rsidR="008522B5" w:rsidRPr="00810074">
              <w:rPr>
                <w:rStyle w:val="Hyperlink"/>
                <w:noProof/>
              </w:rPr>
              <w:t>Art. 8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Bauabfälle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19" w:history="1">
            <w:r w:rsidR="008522B5" w:rsidRPr="00810074">
              <w:rPr>
                <w:rStyle w:val="Hyperlink"/>
                <w:noProof/>
              </w:rPr>
              <w:t>Art. 9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Weitere Abfälle (Sondersammlungen)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20" w:history="1">
            <w:r w:rsidR="008522B5" w:rsidRPr="00810074">
              <w:rPr>
                <w:rStyle w:val="Hyperlink"/>
                <w:noProof/>
              </w:rPr>
              <w:t>Art. 10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Industrie- und Gewerbeabfälle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21" w:history="1">
            <w:r w:rsidR="008522B5" w:rsidRPr="00810074">
              <w:rPr>
                <w:rStyle w:val="Hyperlink"/>
                <w:noProof/>
              </w:rPr>
              <w:t>Art. 11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Rechtsmittel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22" w:history="1">
            <w:r w:rsidR="008522B5" w:rsidRPr="00810074">
              <w:rPr>
                <w:rStyle w:val="Hyperlink"/>
                <w:noProof/>
              </w:rPr>
              <w:t>Art. 12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Strafbestimmungen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23" w:history="1">
            <w:r w:rsidR="008522B5" w:rsidRPr="00810074">
              <w:rPr>
                <w:rStyle w:val="Hyperlink"/>
                <w:noProof/>
              </w:rPr>
              <w:t>Art. 13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Ersatzvornahme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22B5" w:rsidRDefault="00CE67A1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4998124" w:history="1">
            <w:r w:rsidR="008522B5" w:rsidRPr="00810074">
              <w:rPr>
                <w:rStyle w:val="Hyperlink"/>
                <w:noProof/>
              </w:rPr>
              <w:t>Art. 14</w:t>
            </w:r>
            <w:r w:rsidR="008522B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22B5" w:rsidRPr="00810074">
              <w:rPr>
                <w:rStyle w:val="Hyperlink"/>
                <w:noProof/>
              </w:rPr>
              <w:t>Inkrafttreten</w:t>
            </w:r>
            <w:r w:rsidR="00852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22B5">
              <w:rPr>
                <w:noProof/>
                <w:webHidden/>
              </w:rPr>
              <w:instrText xml:space="preserve"> PAGEREF _Toc434998124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B0B3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C8E" w:rsidRDefault="00CE67A1" w:rsidP="00203C8E">
          <w:pPr>
            <w:spacing w:before="0" w:after="0"/>
          </w:pPr>
          <w:r>
            <w:rPr>
              <w:b/>
              <w:bCs/>
              <w:lang w:val="de-DE"/>
            </w:rPr>
            <w:fldChar w:fldCharType="end"/>
          </w:r>
        </w:p>
      </w:sdtContent>
    </w:sdt>
    <w:p w:rsidR="00C73B38" w:rsidRDefault="00C73B38" w:rsidP="001D1AC0">
      <w:pPr>
        <w:spacing w:before="0" w:after="0"/>
        <w:rPr>
          <w:rFonts w:asciiTheme="minorHAnsi" w:hAnsiTheme="minorHAnsi"/>
        </w:rPr>
      </w:pPr>
    </w:p>
    <w:p w:rsidR="00154510" w:rsidRDefault="00154510" w:rsidP="001D1AC0">
      <w:pPr>
        <w:spacing w:before="0" w:after="0"/>
        <w:rPr>
          <w:rFonts w:asciiTheme="minorHAnsi" w:hAnsiTheme="minorHAnsi"/>
        </w:rPr>
        <w:sectPr w:rsidR="00154510" w:rsidSect="00AC3F3F">
          <w:pgSz w:w="11906" w:h="16838" w:code="9"/>
          <w:pgMar w:top="1134" w:right="1418" w:bottom="1418" w:left="1814" w:header="709" w:footer="709" w:gutter="0"/>
          <w:cols w:space="708"/>
          <w:docGrid w:linePitch="360"/>
        </w:sectPr>
      </w:pPr>
    </w:p>
    <w:p w:rsidR="00154510" w:rsidRDefault="00154510" w:rsidP="00154510">
      <w:pPr>
        <w:pStyle w:val="berschrift2"/>
      </w:pPr>
      <w:bookmarkStart w:id="0" w:name="_Toc434998111"/>
      <w:r>
        <w:lastRenderedPageBreak/>
        <w:t>Allgemeine Bestimmungen</w:t>
      </w:r>
      <w:bookmarkEnd w:id="0"/>
    </w:p>
    <w:p w:rsidR="00154510" w:rsidRDefault="00154510" w:rsidP="00DF5386">
      <w:pPr>
        <w:pStyle w:val="Textkrper"/>
      </w:pPr>
      <w:r>
        <w:t xml:space="preserve">Gestützt auf das kantonale Gesetz über die Abfallbewirtschaftung und die Verordnung über die </w:t>
      </w:r>
      <w:r w:rsidR="00EE15D1">
        <w:t>Entsorgung von Kehricht und Sperrgut der Region Prättigau/Davos sowie dem dazugehörenden Reglement</w:t>
      </w:r>
      <w:r>
        <w:t xml:space="preserve"> erlässt die Gemeinde Furna das nachstehende</w:t>
      </w:r>
      <w:r w:rsidR="008E6906">
        <w:t xml:space="preserve"> </w:t>
      </w:r>
      <w:r>
        <w:t>Gesetz über die Abfallentsorgung.</w:t>
      </w:r>
      <w:r w:rsidR="0037167D" w:rsidRPr="0037167D">
        <w:rPr>
          <w:rStyle w:val="Funotenzeichen"/>
        </w:rPr>
        <w:t xml:space="preserve"> </w:t>
      </w:r>
      <w:r w:rsidR="0037167D">
        <w:rPr>
          <w:rStyle w:val="Funotenzeichen"/>
        </w:rPr>
        <w:footnoteReference w:id="1"/>
      </w:r>
    </w:p>
    <w:p w:rsidR="002669EC" w:rsidRDefault="002669EC" w:rsidP="00DF5386">
      <w:pPr>
        <w:pStyle w:val="Textkrper"/>
      </w:pPr>
    </w:p>
    <w:p w:rsidR="00154510" w:rsidRDefault="00154510" w:rsidP="00154510">
      <w:pPr>
        <w:pStyle w:val="berschrift2"/>
      </w:pPr>
      <w:bookmarkStart w:id="1" w:name="_Toc434998112"/>
      <w:r>
        <w:t>Grundsätze</w:t>
      </w:r>
      <w:bookmarkEnd w:id="1"/>
    </w:p>
    <w:p w:rsidR="00154510" w:rsidRDefault="00154510" w:rsidP="00DF5386">
      <w:pPr>
        <w:pStyle w:val="Textkrper"/>
      </w:pPr>
      <w:r>
        <w:t>Die Entsorgung von Hauskehricht und Sperrgut in der Gemeinde Furna richtet sich</w:t>
      </w:r>
      <w:r w:rsidR="008E6906">
        <w:t xml:space="preserve"> </w:t>
      </w:r>
      <w:r>
        <w:t xml:space="preserve">nach den einschlägigen Bestimmungen in der Verordnung </w:t>
      </w:r>
      <w:r w:rsidR="00EE15D1">
        <w:t>und dem Reglement</w:t>
      </w:r>
      <w:r>
        <w:t>.</w:t>
      </w:r>
      <w:r w:rsidR="0037167D">
        <w:rPr>
          <w:rStyle w:val="Funotenzeichen"/>
        </w:rPr>
        <w:t xml:space="preserve"> </w:t>
      </w:r>
      <w:r w:rsidR="0037167D">
        <w:rPr>
          <w:rStyle w:val="Funotenzeichen"/>
        </w:rPr>
        <w:footnoteReference w:id="2"/>
      </w:r>
    </w:p>
    <w:p w:rsidR="00154510" w:rsidRDefault="00154510" w:rsidP="00DF5386">
      <w:pPr>
        <w:pStyle w:val="Textkrper"/>
      </w:pPr>
      <w:r>
        <w:t>Jedermann ist gehalten, das Entstehen von Abfällen möglichst gering zu halten.</w:t>
      </w:r>
      <w:r w:rsidR="008E6906">
        <w:t xml:space="preserve"> </w:t>
      </w:r>
      <w:r>
        <w:t>Wer Abfälle erzeugt, hat diese nach den Vorschriften dieses Gesetzes sowie des</w:t>
      </w:r>
      <w:r w:rsidR="008E6906">
        <w:t xml:space="preserve"> </w:t>
      </w:r>
      <w:r>
        <w:t>übergeordneten Rechts des Bundes und des Kantons zu trennen, getrennt</w:t>
      </w:r>
      <w:r w:rsidR="008E6906">
        <w:t xml:space="preserve"> </w:t>
      </w:r>
      <w:r>
        <w:t>aufzubewahren, zu verwerten oder der geordneten Entsorgung zuzuführen.</w:t>
      </w:r>
    </w:p>
    <w:p w:rsidR="002669EC" w:rsidRDefault="002669EC" w:rsidP="00DF5386">
      <w:pPr>
        <w:pStyle w:val="Textkrper"/>
      </w:pPr>
    </w:p>
    <w:p w:rsidR="00154510" w:rsidRDefault="00154510" w:rsidP="00154510">
      <w:pPr>
        <w:pStyle w:val="berschrift2"/>
      </w:pPr>
      <w:bookmarkStart w:id="2" w:name="_Toc434998113"/>
      <w:r>
        <w:t>Sonderabfälle</w:t>
      </w:r>
      <w:bookmarkEnd w:id="2"/>
    </w:p>
    <w:p w:rsidR="00154510" w:rsidRDefault="00154510" w:rsidP="00DF5386">
      <w:pPr>
        <w:pStyle w:val="Textkrper"/>
      </w:pPr>
      <w:r>
        <w:t>Die Gemeinde Furna organisiert nebst der regional betriebenen Haus- und</w:t>
      </w:r>
      <w:r w:rsidR="008E6906">
        <w:t xml:space="preserve"> </w:t>
      </w:r>
      <w:r>
        <w:t>Sperrgutentsorgung eine zweckmässige Entsorgung verschiedener Wert- und</w:t>
      </w:r>
      <w:r w:rsidR="008E6906">
        <w:t xml:space="preserve"> </w:t>
      </w:r>
      <w:r>
        <w:t>Abfallstoffe, sofern eine solche ökologisch wünschenswert und ökonomisch sinnvoll</w:t>
      </w:r>
      <w:r w:rsidR="008E6906">
        <w:t xml:space="preserve"> </w:t>
      </w:r>
      <w:r>
        <w:t>ist.</w:t>
      </w:r>
    </w:p>
    <w:p w:rsidR="00154510" w:rsidRDefault="00154510" w:rsidP="00DF5386">
      <w:pPr>
        <w:pStyle w:val="Textkrper"/>
      </w:pPr>
      <w:r>
        <w:t>Umfang, Sammelart und Sammelrhyt</w:t>
      </w:r>
      <w:r w:rsidR="00CB0B35">
        <w:t>h</w:t>
      </w:r>
      <w:bookmarkStart w:id="3" w:name="_GoBack"/>
      <w:bookmarkEnd w:id="3"/>
      <w:r>
        <w:t>mus werden vom Gemeindevorstand jährlich</w:t>
      </w:r>
      <w:r w:rsidR="008E6906">
        <w:t xml:space="preserve"> </w:t>
      </w:r>
      <w:r>
        <w:t>festgelegt und im Bezirksamtsblatt publiziert.</w:t>
      </w:r>
    </w:p>
    <w:p w:rsidR="00154510" w:rsidRDefault="00154510" w:rsidP="00DF5386">
      <w:pPr>
        <w:pStyle w:val="Textkrper"/>
      </w:pPr>
      <w:r>
        <w:t>Kompostierbare Abfälle sind von den Inhaberinnen und Inhabern nach Möglichkeit</w:t>
      </w:r>
      <w:r w:rsidR="008E6906">
        <w:t xml:space="preserve"> </w:t>
      </w:r>
      <w:r>
        <w:t>selbst in Garten, Hof oder Quartier zu kompostieren.</w:t>
      </w:r>
    </w:p>
    <w:p w:rsidR="00154510" w:rsidRDefault="00154510" w:rsidP="00DF5386">
      <w:pPr>
        <w:pStyle w:val="Textkrper"/>
      </w:pPr>
      <w:r>
        <w:t>Die übrigen separat gesammelten Abfälle sind für die an bestimmten Tagen</w:t>
      </w:r>
      <w:r w:rsidR="008E6906">
        <w:t xml:space="preserve"> </w:t>
      </w:r>
      <w:r>
        <w:t>durchgeführten Spezialabfuhren bereitzustellen oder den Rücknahmepflichtigen</w:t>
      </w:r>
      <w:r w:rsidR="008E6906">
        <w:t xml:space="preserve"> </w:t>
      </w:r>
      <w:r>
        <w:t>zurückzugeben.</w:t>
      </w:r>
    </w:p>
    <w:p w:rsidR="00154510" w:rsidRDefault="00154510" w:rsidP="00DF5386">
      <w:pPr>
        <w:pStyle w:val="Textkrper"/>
      </w:pPr>
      <w:r>
        <w:t>Grössere Mengen von Sonderabfällen aus Dienstleistungs- und Gewerbebetrieben</w:t>
      </w:r>
      <w:r w:rsidR="008E6906">
        <w:t xml:space="preserve"> </w:t>
      </w:r>
      <w:r>
        <w:t>sind von den Inhaberinnen und Inhabern auf eigene Kosten umweltverträglich zu</w:t>
      </w:r>
      <w:r w:rsidR="008E6906">
        <w:t xml:space="preserve"> </w:t>
      </w:r>
      <w:r>
        <w:t>entsorgen.</w:t>
      </w:r>
    </w:p>
    <w:p w:rsidR="00154510" w:rsidRDefault="00154510" w:rsidP="00154510">
      <w:pPr>
        <w:pStyle w:val="berschrift2"/>
      </w:pPr>
      <w:bookmarkStart w:id="4" w:name="_Toc434998114"/>
      <w:r>
        <w:lastRenderedPageBreak/>
        <w:t>Verursacherprinzip</w:t>
      </w:r>
      <w:bookmarkEnd w:id="4"/>
    </w:p>
    <w:p w:rsidR="00154510" w:rsidRDefault="00154510" w:rsidP="00DF5386">
      <w:pPr>
        <w:pStyle w:val="Textkrper"/>
      </w:pPr>
      <w:r>
        <w:t>Die Kosten für die Entsorgung des Hauskehrichts und des anfallenden Sperrgutes</w:t>
      </w:r>
      <w:r w:rsidR="008E6906">
        <w:t xml:space="preserve"> </w:t>
      </w:r>
      <w:r>
        <w:t xml:space="preserve">richten sich nach den einschlägigen Bestimmungen </w:t>
      </w:r>
      <w:r w:rsidR="00F54D3F">
        <w:t xml:space="preserve">der </w:t>
      </w:r>
      <w:r w:rsidR="00EE15D1">
        <w:t>Region Prättigau/Davos</w:t>
      </w:r>
      <w:r>
        <w:t>.</w:t>
      </w:r>
      <w:r w:rsidR="0037167D" w:rsidRPr="0037167D">
        <w:rPr>
          <w:rStyle w:val="Funotenzeichen"/>
        </w:rPr>
        <w:t xml:space="preserve"> </w:t>
      </w:r>
      <w:r w:rsidR="0037167D">
        <w:rPr>
          <w:rStyle w:val="Funotenzeichen"/>
        </w:rPr>
        <w:footnoteReference w:id="3"/>
      </w:r>
    </w:p>
    <w:p w:rsidR="008522B5" w:rsidRDefault="008522B5" w:rsidP="00DF5386">
      <w:pPr>
        <w:pStyle w:val="Textkrper"/>
      </w:pPr>
      <w:r>
        <w:t>Für den der Gemeinde anfallenden Aufwand für die Abfallbewirtschaftung erhebt der</w:t>
      </w:r>
      <w:r w:rsidR="008E6906">
        <w:t xml:space="preserve"> </w:t>
      </w:r>
      <w:r>
        <w:t>Gemeindevorstand kostendeckende Grundgebühren.</w:t>
      </w:r>
    </w:p>
    <w:p w:rsidR="008522B5" w:rsidRDefault="008522B5" w:rsidP="00DF5386">
      <w:pPr>
        <w:pStyle w:val="Textkrper"/>
      </w:pPr>
      <w:r>
        <w:t>Für bestimmte Sonderabfälle kann der Gemeindevorstand bei der Entsorgung</w:t>
      </w:r>
      <w:r w:rsidR="008E6906">
        <w:t xml:space="preserve"> </w:t>
      </w:r>
      <w:r>
        <w:t>zusätzliche Gebühren verlangen.</w:t>
      </w:r>
    </w:p>
    <w:p w:rsidR="002669EC" w:rsidRDefault="002669EC" w:rsidP="00DF5386">
      <w:pPr>
        <w:pStyle w:val="Textkrper"/>
      </w:pPr>
    </w:p>
    <w:p w:rsidR="008522B5" w:rsidRDefault="008522B5" w:rsidP="008522B5">
      <w:pPr>
        <w:pStyle w:val="berschrift2"/>
      </w:pPr>
      <w:bookmarkStart w:id="5" w:name="_Toc434998115"/>
      <w:r>
        <w:t>Gebühren</w:t>
      </w:r>
      <w:bookmarkEnd w:id="5"/>
    </w:p>
    <w:p w:rsidR="008522B5" w:rsidRDefault="008522B5" w:rsidP="00DF5386">
      <w:pPr>
        <w:pStyle w:val="Textkrper"/>
      </w:pPr>
      <w:r>
        <w:t xml:space="preserve">Die Gebühren gemäss Art. 4, Abs. 2 und 3 werden vom Gemeindevorstand </w:t>
      </w:r>
      <w:r w:rsidR="0037167D">
        <w:t>jährlich</w:t>
      </w:r>
      <w:r w:rsidR="008E6906">
        <w:t xml:space="preserve"> </w:t>
      </w:r>
      <w:r>
        <w:t>aufgrund der im Vorjahr angefallenen Kosten und der voraussichtlich laufenden</w:t>
      </w:r>
      <w:r w:rsidR="008E6906">
        <w:t xml:space="preserve"> </w:t>
      </w:r>
      <w:r>
        <w:t>Kosten festgelegt und publiziert.</w:t>
      </w:r>
    </w:p>
    <w:p w:rsidR="008522B5" w:rsidRDefault="008522B5" w:rsidP="00DF5386">
      <w:pPr>
        <w:pStyle w:val="Textkrper"/>
      </w:pPr>
      <w:r>
        <w:t>Grundlage für die Bemessung der Grundgebühren bilden die folgenden Einheiten: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419"/>
      </w:tblGrid>
      <w:tr w:rsidR="008522B5" w:rsidTr="006C7377">
        <w:tc>
          <w:tcPr>
            <w:tcW w:w="5529" w:type="dxa"/>
          </w:tcPr>
          <w:p w:rsidR="008522B5" w:rsidRDefault="008522B5" w:rsidP="008522B5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Haushaltungen/Wohnungen/Maiensässe</w:t>
            </w:r>
          </w:p>
        </w:tc>
        <w:tc>
          <w:tcPr>
            <w:tcW w:w="3419" w:type="dxa"/>
          </w:tcPr>
          <w:p w:rsidR="008522B5" w:rsidRDefault="008522B5" w:rsidP="008522B5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1 Einheit pro Haushalt </w:t>
            </w:r>
            <w:r w:rsidR="006C7377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Wohnung</w:t>
            </w:r>
            <w:r w:rsidR="006C7377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/</w:t>
            </w:r>
            <w:r w:rsidR="006C7377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Maiensäss /</w:t>
            </w:r>
          </w:p>
        </w:tc>
      </w:tr>
      <w:tr w:rsidR="008522B5" w:rsidTr="006C7377">
        <w:tc>
          <w:tcPr>
            <w:tcW w:w="5529" w:type="dxa"/>
          </w:tcPr>
          <w:p w:rsidR="008522B5" w:rsidRDefault="008522B5" w:rsidP="0037167D">
            <w:pPr>
              <w:pStyle w:val="Textkrper"/>
              <w:spacing w:before="0"/>
              <w:rPr>
                <w:b/>
                <w:bCs/>
                <w:i/>
                <w:iCs/>
              </w:rPr>
            </w:pPr>
            <w:r>
              <w:t>Zimmer und Küche (inkl. Kochnischen) begründen einen Haushalt, ungeachtet der Anzahl Personen</w:t>
            </w:r>
            <w:r w:rsidR="008E6906">
              <w:t xml:space="preserve"> </w:t>
            </w:r>
            <w:r>
              <w:t>und der Nutzungshäufigkeit</w:t>
            </w:r>
          </w:p>
        </w:tc>
        <w:tc>
          <w:tcPr>
            <w:tcW w:w="3419" w:type="dxa"/>
          </w:tcPr>
          <w:p w:rsidR="008522B5" w:rsidRDefault="008522B5" w:rsidP="0037167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8522B5" w:rsidTr="006C7377">
        <w:tc>
          <w:tcPr>
            <w:tcW w:w="5529" w:type="dxa"/>
          </w:tcPr>
          <w:p w:rsidR="008522B5" w:rsidRDefault="008522B5" w:rsidP="008522B5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Gewerbe- und Dienstleistungsbetriebe</w:t>
            </w:r>
          </w:p>
        </w:tc>
        <w:tc>
          <w:tcPr>
            <w:tcW w:w="3419" w:type="dxa"/>
          </w:tcPr>
          <w:p w:rsidR="008522B5" w:rsidRDefault="008522B5" w:rsidP="008522B5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 Einheit pro Betrieb</w:t>
            </w:r>
          </w:p>
        </w:tc>
      </w:tr>
      <w:tr w:rsidR="008522B5" w:rsidTr="006C7377">
        <w:tc>
          <w:tcPr>
            <w:tcW w:w="5529" w:type="dxa"/>
          </w:tcPr>
          <w:p w:rsidR="008522B5" w:rsidRDefault="008522B5" w:rsidP="0037167D">
            <w:pPr>
              <w:pStyle w:val="Textkrper"/>
              <w:spacing w:before="0"/>
              <w:rPr>
                <w:b/>
                <w:bCs/>
                <w:i/>
                <w:iCs/>
              </w:rPr>
            </w:pPr>
            <w:r>
              <w:t>Unter anderem in gesonderten, festen Arbeitslokalitäten</w:t>
            </w:r>
            <w:r w:rsidR="008E6906">
              <w:t xml:space="preserve"> </w:t>
            </w:r>
            <w:r>
              <w:t>in- oder ausserhalb des Wohnhauses</w:t>
            </w:r>
            <w:r w:rsidR="008E6906">
              <w:t xml:space="preserve"> </w:t>
            </w:r>
            <w:r>
              <w:t>(zusätzlich zu einer allfälligen Haushaltsgebühr)</w:t>
            </w:r>
            <w:r w:rsidR="008E6906">
              <w:t xml:space="preserve"> </w:t>
            </w:r>
          </w:p>
        </w:tc>
        <w:tc>
          <w:tcPr>
            <w:tcW w:w="3419" w:type="dxa"/>
          </w:tcPr>
          <w:p w:rsidR="008522B5" w:rsidRDefault="008522B5" w:rsidP="008522B5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</w:tbl>
    <w:p w:rsidR="008522B5" w:rsidRDefault="008522B5" w:rsidP="00DF5386">
      <w:pPr>
        <w:pStyle w:val="Textkrper"/>
      </w:pPr>
      <w:r>
        <w:t>Die Grundgebühren werden im Laufe des Kalenderjahres in Rechnung gestellt.</w:t>
      </w:r>
    </w:p>
    <w:p w:rsidR="008522B5" w:rsidRDefault="008522B5" w:rsidP="00DF5386">
      <w:pPr>
        <w:pStyle w:val="Textkrper"/>
      </w:pPr>
      <w:r>
        <w:t xml:space="preserve">Rechnungen und Verfügungen werden den am </w:t>
      </w:r>
      <w:r w:rsidR="00F54D3F">
        <w:t xml:space="preserve">31. Dezember </w:t>
      </w:r>
      <w:r>
        <w:t>des Rechnungsjahres im</w:t>
      </w:r>
      <w:r w:rsidR="008E6906">
        <w:t xml:space="preserve"> </w:t>
      </w:r>
      <w:r>
        <w:t>Grundbuch eingetragenen Liegenschaftseigentümern zugestellt. Bei Baurechtsverhältnissen</w:t>
      </w:r>
      <w:r w:rsidR="008E6906">
        <w:t xml:space="preserve"> </w:t>
      </w:r>
      <w:r>
        <w:t>erfolgt die Rechnungstellung an die Bauberechtigten, bei Gesamt</w:t>
      </w:r>
      <w:r w:rsidR="008E6906">
        <w:t xml:space="preserve">- </w:t>
      </w:r>
      <w:r>
        <w:t>oder</w:t>
      </w:r>
      <w:r w:rsidR="008E6906">
        <w:t xml:space="preserve"> </w:t>
      </w:r>
      <w:r>
        <w:t>Miteigentum an die Gesamt- oder Miteigentümer/innen, bei Stockwerkeigentum</w:t>
      </w:r>
      <w:r w:rsidR="008E6906">
        <w:t xml:space="preserve"> </w:t>
      </w:r>
      <w:r>
        <w:t>an die Verwaltung.</w:t>
      </w:r>
    </w:p>
    <w:p w:rsidR="008522B5" w:rsidRDefault="008522B5" w:rsidP="00DF5386">
      <w:pPr>
        <w:pStyle w:val="Textkrper"/>
      </w:pPr>
      <w:r>
        <w:t>Die Grundgebühren sind innert der gesetzten Frist zu bezahlen. Bei verspäteter</w:t>
      </w:r>
      <w:r w:rsidR="008E6906">
        <w:t xml:space="preserve"> </w:t>
      </w:r>
      <w:r>
        <w:t>Zahlung wird ein Verzugszins in der Höhe der jeweils geltenden kantonalen Ansätze</w:t>
      </w:r>
      <w:r w:rsidR="008E6906">
        <w:t xml:space="preserve"> </w:t>
      </w:r>
      <w:r>
        <w:t>berechnet.</w:t>
      </w:r>
    </w:p>
    <w:p w:rsidR="008522B5" w:rsidRDefault="008522B5" w:rsidP="008522B5">
      <w:pPr>
        <w:pStyle w:val="berschrift2"/>
      </w:pPr>
      <w:bookmarkStart w:id="6" w:name="_Toc434998116"/>
      <w:r>
        <w:lastRenderedPageBreak/>
        <w:t>Bereitstellung</w:t>
      </w:r>
      <w:bookmarkEnd w:id="6"/>
    </w:p>
    <w:p w:rsidR="008522B5" w:rsidRDefault="008522B5" w:rsidP="00DF5386">
      <w:pPr>
        <w:pStyle w:val="Textkrper"/>
      </w:pPr>
      <w:r>
        <w:t xml:space="preserve">Hauskehricht </w:t>
      </w:r>
      <w:r w:rsidR="001E3F77">
        <w:t xml:space="preserve">ist in offiziellen Gebinden, das heisst in zugebundenen Säcken oder in bewilligten Containern, </w:t>
      </w:r>
      <w:r w:rsidR="00A20512">
        <w:t>in der Sammelstelle</w:t>
      </w:r>
      <w:r w:rsidR="00F54D3F">
        <w:t xml:space="preserve"> oder an den dafür bestimmten Orten</w:t>
      </w:r>
      <w:r w:rsidR="00115B5C">
        <w:t xml:space="preserve"> </w:t>
      </w:r>
      <w:r w:rsidR="001E3F77">
        <w:t>bereitzustellen</w:t>
      </w:r>
      <w:r w:rsidR="00115B5C">
        <w:rPr>
          <w:rStyle w:val="Funotenzeichen"/>
        </w:rPr>
        <w:footnoteReference w:id="4"/>
      </w:r>
      <w:r>
        <w:t>.</w:t>
      </w:r>
    </w:p>
    <w:p w:rsidR="002669EC" w:rsidRDefault="002669EC" w:rsidP="00DF5386">
      <w:pPr>
        <w:pStyle w:val="Textkrper"/>
      </w:pPr>
    </w:p>
    <w:p w:rsidR="008522B5" w:rsidRDefault="008522B5" w:rsidP="008522B5">
      <w:pPr>
        <w:pStyle w:val="berschrift2"/>
      </w:pPr>
      <w:bookmarkStart w:id="7" w:name="_Toc434998117"/>
      <w:r>
        <w:t>Sperrgut</w:t>
      </w:r>
      <w:bookmarkEnd w:id="7"/>
      <w:r w:rsidR="00115B5C">
        <w:rPr>
          <w:rStyle w:val="Funotenzeichen"/>
        </w:rPr>
        <w:footnoteReference w:id="5"/>
      </w:r>
    </w:p>
    <w:p w:rsidR="001E3F77" w:rsidRDefault="001E3F77" w:rsidP="00CB0B35">
      <w:pPr>
        <w:pStyle w:val="Textkrper"/>
        <w:numPr>
          <w:ilvl w:val="0"/>
          <w:numId w:val="24"/>
        </w:numPr>
      </w:pPr>
      <w:r w:rsidRPr="00CB0B35">
        <w:rPr>
          <w:b/>
        </w:rPr>
        <w:t>Kleinsperrgut</w:t>
      </w:r>
      <w:r>
        <w:t xml:space="preserve"> mit einem Ausmass von höchstens 100 x 60 x 60 und höchstens 25 Kg Gewicht ist in offenen Einweggebinden oder in zugebundenen Säcken</w:t>
      </w:r>
      <w:r w:rsidR="004C3032">
        <w:t>, versehen mit 1 Gebührenmarke,</w:t>
      </w:r>
      <w:r>
        <w:t xml:space="preserve"> dem Sammeldienst zu übergeben. </w:t>
      </w:r>
    </w:p>
    <w:p w:rsidR="008522B5" w:rsidRDefault="00112A3E" w:rsidP="00CB0B35">
      <w:pPr>
        <w:pStyle w:val="Textkrper"/>
        <w:numPr>
          <w:ilvl w:val="0"/>
          <w:numId w:val="24"/>
        </w:numPr>
      </w:pPr>
      <w:r w:rsidRPr="00CB0B35">
        <w:rPr>
          <w:b/>
        </w:rPr>
        <w:t>Sperrgut</w:t>
      </w:r>
      <w:r>
        <w:t xml:space="preserve"> mit einem Ausmass von höchstens 200 x 100 x 100 und einem Gewicht von höchstens 50 Kg ist in offenen Einweggebinden oder in zugebundenen Säcken</w:t>
      </w:r>
      <w:r w:rsidR="004C3032">
        <w:t>, versehen mit 2 Gebührenmarken</w:t>
      </w:r>
      <w:r w:rsidR="0037167D">
        <w:t>,</w:t>
      </w:r>
      <w:r>
        <w:t xml:space="preserve"> dem Sammeldienst zu übergeben</w:t>
      </w:r>
      <w:r w:rsidR="008522B5">
        <w:t>.</w:t>
      </w:r>
    </w:p>
    <w:p w:rsidR="00112A3E" w:rsidRDefault="004C3032" w:rsidP="00112A3E">
      <w:pPr>
        <w:pStyle w:val="Textkrper"/>
      </w:pPr>
      <w:r>
        <w:t xml:space="preserve">Die mit den entsprechenden Gebührenmarken versehenen Sperrgüter können mit dem Hauskehricht </w:t>
      </w:r>
      <w:r w:rsidR="00A20512">
        <w:t>in der Sammelstelle</w:t>
      </w:r>
      <w:r>
        <w:t xml:space="preserve"> deponiert werden.</w:t>
      </w:r>
    </w:p>
    <w:p w:rsidR="002669EC" w:rsidRDefault="002669EC" w:rsidP="00112A3E">
      <w:pPr>
        <w:pStyle w:val="Textkrper"/>
      </w:pPr>
    </w:p>
    <w:p w:rsidR="008522B5" w:rsidRDefault="008522B5" w:rsidP="008522B5">
      <w:pPr>
        <w:pStyle w:val="berschrift2"/>
      </w:pPr>
      <w:bookmarkStart w:id="8" w:name="_Toc434998118"/>
      <w:r>
        <w:t>Bauabfälle</w:t>
      </w:r>
      <w:bookmarkEnd w:id="8"/>
    </w:p>
    <w:p w:rsidR="008522B5" w:rsidRDefault="008522B5" w:rsidP="00DF5386">
      <w:pPr>
        <w:pStyle w:val="Textkrper"/>
      </w:pPr>
      <w:r>
        <w:t>Bauabfälle sind nach den Vorschriften des Bundes und den Anordnungen des</w:t>
      </w:r>
      <w:r w:rsidR="008E6906">
        <w:t xml:space="preserve"> </w:t>
      </w:r>
      <w:r>
        <w:t>Kantons zu entsorgen.</w:t>
      </w:r>
    </w:p>
    <w:p w:rsidR="008522B5" w:rsidRDefault="008522B5" w:rsidP="00DF5386">
      <w:pPr>
        <w:pStyle w:val="Textkrper"/>
      </w:pPr>
      <w:r>
        <w:t>Unverschmutztes Aushub- oder Abraummaterial ist vom Verursacher auf eigene</w:t>
      </w:r>
      <w:r w:rsidR="008E6906">
        <w:t xml:space="preserve"> </w:t>
      </w:r>
      <w:r>
        <w:t>Kosten direkt der Verwertung oder einer bewilligten Innertstoffdeponie bzw.</w:t>
      </w:r>
      <w:r w:rsidR="008E6906">
        <w:t xml:space="preserve"> </w:t>
      </w:r>
      <w:r>
        <w:t>Materialablagerung zuzuführen.</w:t>
      </w:r>
    </w:p>
    <w:p w:rsidR="002669EC" w:rsidRDefault="002669EC" w:rsidP="00DF5386">
      <w:pPr>
        <w:pStyle w:val="Textkrper"/>
      </w:pPr>
    </w:p>
    <w:p w:rsidR="008522B5" w:rsidRDefault="008522B5" w:rsidP="008522B5">
      <w:pPr>
        <w:pStyle w:val="berschrift2"/>
      </w:pPr>
      <w:bookmarkStart w:id="9" w:name="_Toc434998119"/>
      <w:r>
        <w:t>Weitere Abfälle (Sondersammlungen)</w:t>
      </w:r>
      <w:bookmarkEnd w:id="9"/>
      <w:r w:rsidR="0037167D">
        <w:rPr>
          <w:rStyle w:val="Funotenzeichen"/>
        </w:rPr>
        <w:footnoteReference w:id="6"/>
      </w:r>
    </w:p>
    <w:p w:rsidR="008522B5" w:rsidRDefault="00A20512" w:rsidP="00DF5386">
      <w:pPr>
        <w:pStyle w:val="Textkrper"/>
      </w:pPr>
      <w:r>
        <w:t xml:space="preserve">In der Sammelstelle stehen Behälter zur Aufnahme verschiedener weiterer Abfälle zur Verfügung. </w:t>
      </w:r>
      <w:r w:rsidR="0037167D">
        <w:t>Es sind darin nur die entsprechenden Materialien zu entsorgen.</w:t>
      </w:r>
    </w:p>
    <w:p w:rsidR="0037167D" w:rsidRDefault="0037167D" w:rsidP="00DF5386">
      <w:pPr>
        <w:pStyle w:val="Textkrper"/>
      </w:pPr>
      <w:r>
        <w:t>Abfälle, für die kein Behälter vorgesehen ist, sind auf eigene Kosten fachgerecht zu entsorgen.</w:t>
      </w:r>
    </w:p>
    <w:p w:rsidR="008522B5" w:rsidRDefault="008522B5" w:rsidP="00DF5386">
      <w:pPr>
        <w:pStyle w:val="Textkrper"/>
      </w:pPr>
      <w:r>
        <w:lastRenderedPageBreak/>
        <w:t>Der Gemeindevorstand kann die Sondersammlungen und die organisierten Abfuhren</w:t>
      </w:r>
      <w:r w:rsidR="008E6906">
        <w:t xml:space="preserve"> </w:t>
      </w:r>
      <w:r>
        <w:t>auf weitere Abfälle ausdehnen.</w:t>
      </w:r>
    </w:p>
    <w:p w:rsidR="008522B5" w:rsidRDefault="008522B5" w:rsidP="00DF5386">
      <w:pPr>
        <w:pStyle w:val="Textkrper"/>
      </w:pPr>
      <w:r>
        <w:t>Wenn immer möglich sind Sonderabfälle an den Hersteller zur Entsorgung</w:t>
      </w:r>
      <w:r w:rsidR="008E6906">
        <w:t xml:space="preserve"> </w:t>
      </w:r>
      <w:r>
        <w:t>zurückzugeben oder der Wiederverwertung zuzuführen.</w:t>
      </w:r>
    </w:p>
    <w:p w:rsidR="002669EC" w:rsidRDefault="002669EC" w:rsidP="00DF5386">
      <w:pPr>
        <w:pStyle w:val="Textkrper"/>
      </w:pPr>
    </w:p>
    <w:p w:rsidR="008522B5" w:rsidRDefault="008522B5" w:rsidP="008522B5">
      <w:pPr>
        <w:pStyle w:val="berschrift2"/>
      </w:pPr>
      <w:bookmarkStart w:id="10" w:name="_Toc434998120"/>
      <w:r>
        <w:t>Industrie- und Gewerbeabfälle</w:t>
      </w:r>
      <w:bookmarkEnd w:id="10"/>
    </w:p>
    <w:p w:rsidR="008522B5" w:rsidRDefault="008522B5" w:rsidP="00DF5386">
      <w:pPr>
        <w:pStyle w:val="Textkrper"/>
      </w:pPr>
      <w:r>
        <w:t>Dem Hauskehricht entsprechende Abfälle aus Landwirtschafts- und übrigen</w:t>
      </w:r>
      <w:r w:rsidR="008E6906">
        <w:t xml:space="preserve"> </w:t>
      </w:r>
      <w:r>
        <w:t>Gewerbebetrieben sind der wöchentlichen Kehrichtabfuhr mitzugeben, sofern sie in</w:t>
      </w:r>
      <w:r w:rsidR="008E6906">
        <w:t xml:space="preserve"> </w:t>
      </w:r>
      <w:r>
        <w:t>den vorgeschriebenen Kehrichtbehältern Platz haben. Grössere Abfallmengen,</w:t>
      </w:r>
      <w:r w:rsidR="008E6906">
        <w:t xml:space="preserve"> </w:t>
      </w:r>
      <w:r>
        <w:t>deren Beseitigung durch die ordentliche Abfuhr nicht sinnvoll erscheint, sind nach</w:t>
      </w:r>
      <w:r w:rsidR="008E6906">
        <w:t xml:space="preserve"> </w:t>
      </w:r>
      <w:r>
        <w:t>Absprache mit dem Gemeindevorstand vom Verursacher auf eigene Kosten direkt</w:t>
      </w:r>
      <w:r w:rsidR="008E6906">
        <w:t xml:space="preserve"> </w:t>
      </w:r>
      <w:r>
        <w:t>der Verbrennungsanlage der GEVAG in Trimmis zuzuführen.</w:t>
      </w:r>
    </w:p>
    <w:p w:rsidR="008522B5" w:rsidRDefault="008522B5" w:rsidP="008522B5">
      <w:pPr>
        <w:pStyle w:val="berschrift2"/>
      </w:pPr>
      <w:bookmarkStart w:id="11" w:name="_Toc434998121"/>
      <w:r>
        <w:t>Rechtsmittel</w:t>
      </w:r>
      <w:bookmarkEnd w:id="11"/>
    </w:p>
    <w:p w:rsidR="008522B5" w:rsidRDefault="008522B5" w:rsidP="00DF5386">
      <w:pPr>
        <w:pStyle w:val="Textkrper"/>
      </w:pPr>
      <w:r>
        <w:t>Einsprachen gegen die Veranlagung der Grundgebühren sowie Einsprachen im</w:t>
      </w:r>
      <w:r w:rsidR="008E6906">
        <w:t xml:space="preserve"> </w:t>
      </w:r>
      <w:r>
        <w:t>Zusammenhang mit der Erhebung von Gebühren für bestimmte Spezialabfälle sind</w:t>
      </w:r>
      <w:r w:rsidR="008E6906">
        <w:t xml:space="preserve"> </w:t>
      </w:r>
      <w:r>
        <w:t>schriftlich und begründet bei der Gemeinde einzureichen.</w:t>
      </w:r>
    </w:p>
    <w:p w:rsidR="008522B5" w:rsidRDefault="008522B5" w:rsidP="00DF5386">
      <w:pPr>
        <w:pStyle w:val="Textkrper"/>
      </w:pPr>
      <w:r>
        <w:t>Erfolgt die Gebührenerhebung durch Zustellung einer Rechnung, ist die Einsprache</w:t>
      </w:r>
      <w:r w:rsidR="008E6906">
        <w:t xml:space="preserve"> </w:t>
      </w:r>
      <w:r>
        <w:t xml:space="preserve">innert 20 Tagen seit </w:t>
      </w:r>
      <w:proofErr w:type="spellStart"/>
      <w:r>
        <w:t>Rechnungstellung</w:t>
      </w:r>
      <w:proofErr w:type="spellEnd"/>
      <w:r>
        <w:t xml:space="preserve"> zu erheben.</w:t>
      </w:r>
    </w:p>
    <w:p w:rsidR="002669EC" w:rsidRDefault="002669EC" w:rsidP="00DF5386">
      <w:pPr>
        <w:pStyle w:val="Textkrper"/>
      </w:pPr>
    </w:p>
    <w:p w:rsidR="008522B5" w:rsidRDefault="008522B5" w:rsidP="008522B5">
      <w:pPr>
        <w:pStyle w:val="berschrift2"/>
      </w:pPr>
      <w:bookmarkStart w:id="12" w:name="_Toc434998122"/>
      <w:r>
        <w:t>Strafbestimmungen</w:t>
      </w:r>
      <w:bookmarkEnd w:id="12"/>
    </w:p>
    <w:p w:rsidR="008522B5" w:rsidRDefault="008E6906" w:rsidP="00DF5386">
      <w:pPr>
        <w:pStyle w:val="Textkrper"/>
      </w:pPr>
      <w:r>
        <w:t xml:space="preserve">Übertretungen </w:t>
      </w:r>
      <w:r w:rsidR="008522B5">
        <w:t>der Bestimmungen dieses Gesetzes werden vom Gemeindevorstand</w:t>
      </w:r>
      <w:r>
        <w:t xml:space="preserve"> </w:t>
      </w:r>
      <w:r w:rsidR="008522B5">
        <w:t>mit Bussen bis Fr. 5‘000.- geahndet. Vorbehalten bleiben die besonderen</w:t>
      </w:r>
      <w:r>
        <w:t xml:space="preserve"> </w:t>
      </w:r>
      <w:r w:rsidR="008522B5">
        <w:t>Strafbestimmungen des eidgenössischen und kantonalen Rechtes.</w:t>
      </w:r>
      <w:r>
        <w:t xml:space="preserve"> </w:t>
      </w:r>
    </w:p>
    <w:p w:rsidR="008522B5" w:rsidRDefault="008522B5" w:rsidP="008522B5">
      <w:pPr>
        <w:pStyle w:val="berschrift2"/>
      </w:pPr>
      <w:bookmarkStart w:id="13" w:name="_Toc434998123"/>
      <w:r>
        <w:t>Ersatzvornahme</w:t>
      </w:r>
      <w:bookmarkEnd w:id="13"/>
    </w:p>
    <w:p w:rsidR="008522B5" w:rsidRDefault="008522B5" w:rsidP="00DF5386">
      <w:pPr>
        <w:pStyle w:val="Textkrper"/>
      </w:pPr>
      <w:r>
        <w:t>Unabhängig von einer allfälligen Strafverfolgung kann der Gemeindevorstand unter</w:t>
      </w:r>
      <w:r w:rsidR="008E6906">
        <w:t xml:space="preserve"> </w:t>
      </w:r>
      <w:r>
        <w:t>Strafandrohung die Beseitigung vorschriftswidriger Zustände verfügen.</w:t>
      </w:r>
      <w:r w:rsidR="008E6906">
        <w:t xml:space="preserve"> </w:t>
      </w:r>
      <w:r>
        <w:t>Sofern den Anordnungen nicht innert angemessener Frist Folge geleistet wird,</w:t>
      </w:r>
      <w:r w:rsidR="008E6906">
        <w:t xml:space="preserve"> </w:t>
      </w:r>
      <w:r>
        <w:t>ordnet der Gemeindevorstand Ersatzvornahmen auf Kosten des oder der</w:t>
      </w:r>
      <w:r w:rsidR="008E6906">
        <w:t xml:space="preserve"> </w:t>
      </w:r>
      <w:r>
        <w:t>Verursacher/in an.</w:t>
      </w:r>
    </w:p>
    <w:p w:rsidR="002669EC" w:rsidRDefault="002669EC" w:rsidP="00DF5386">
      <w:pPr>
        <w:pStyle w:val="Textkrper"/>
      </w:pPr>
    </w:p>
    <w:p w:rsidR="008522B5" w:rsidRDefault="008522B5" w:rsidP="008522B5">
      <w:pPr>
        <w:pStyle w:val="berschrift2"/>
      </w:pPr>
      <w:bookmarkStart w:id="14" w:name="_Toc434998124"/>
      <w:r>
        <w:lastRenderedPageBreak/>
        <w:t>Inkrafttreten</w:t>
      </w:r>
      <w:bookmarkEnd w:id="14"/>
    </w:p>
    <w:p w:rsidR="00115B5C" w:rsidRDefault="008522B5" w:rsidP="00DF5386">
      <w:pPr>
        <w:pStyle w:val="Textkrper"/>
      </w:pPr>
      <w:r>
        <w:t>Dieses Gesetz ersetzt alle bisherigen Gesetze, Verordnungen und Beschlüsse und</w:t>
      </w:r>
      <w:r w:rsidR="008E6906">
        <w:t xml:space="preserve"> </w:t>
      </w:r>
      <w:r>
        <w:t>tritt mit Beschluss der Gemeindeversammlung sowie nach Einführung der regionalen</w:t>
      </w:r>
      <w:r w:rsidR="008E6906">
        <w:t xml:space="preserve"> </w:t>
      </w:r>
      <w:r>
        <w:t>Abfallbewirtschaftung im Prättigau per 1. November 2001 in Kraft.</w:t>
      </w:r>
    </w:p>
    <w:p w:rsidR="008522B5" w:rsidRDefault="008522B5" w:rsidP="00DF5386">
      <w:pPr>
        <w:pStyle w:val="Textkrper"/>
      </w:pPr>
      <w:r>
        <w:t>Dem Gemeindevorstand obliegt der Vollzug dieses Gesetzes. Er erlässt die</w:t>
      </w:r>
      <w:r w:rsidR="008E6906">
        <w:t xml:space="preserve"> </w:t>
      </w:r>
      <w:r>
        <w:t>erforderlichen Ausführungsbestimmungen.</w:t>
      </w:r>
    </w:p>
    <w:p w:rsidR="008E6906" w:rsidRDefault="008E6906" w:rsidP="008E6906">
      <w:pPr>
        <w:tabs>
          <w:tab w:val="left" w:pos="3969"/>
        </w:tabs>
        <w:autoSpaceDE w:val="0"/>
        <w:autoSpaceDN w:val="0"/>
        <w:adjustRightInd w:val="0"/>
        <w:spacing w:before="0" w:after="0"/>
        <w:rPr>
          <w:rFonts w:ascii="Arial" w:hAnsi="Arial" w:cs="Arial"/>
          <w:szCs w:val="24"/>
        </w:rPr>
      </w:pPr>
    </w:p>
    <w:p w:rsidR="008522B5" w:rsidRDefault="008522B5" w:rsidP="00CB0B35">
      <w:pPr>
        <w:pStyle w:val="Textkrper"/>
        <w:keepNext/>
        <w:tabs>
          <w:tab w:val="left" w:pos="4536"/>
        </w:tabs>
      </w:pPr>
      <w:r>
        <w:t xml:space="preserve">gezeichnet </w:t>
      </w:r>
      <w:r w:rsidR="008E6906">
        <w:tab/>
      </w:r>
      <w:r>
        <w:t>gezeichnet</w:t>
      </w:r>
    </w:p>
    <w:p w:rsidR="008522B5" w:rsidRDefault="008522B5" w:rsidP="00DF5386">
      <w:pPr>
        <w:pStyle w:val="Textkrper"/>
        <w:tabs>
          <w:tab w:val="left" w:pos="4536"/>
        </w:tabs>
      </w:pPr>
      <w:r>
        <w:t xml:space="preserve">Präsident A. Berry: </w:t>
      </w:r>
      <w:r w:rsidR="008E6906">
        <w:tab/>
      </w:r>
      <w:r>
        <w:t>Aktuarin M. Hartmann:</w:t>
      </w:r>
    </w:p>
    <w:p w:rsidR="00115B5C" w:rsidRDefault="00115B5C" w:rsidP="00115B5C">
      <w:pPr>
        <w:pStyle w:val="Textkrper"/>
      </w:pPr>
    </w:p>
    <w:p w:rsidR="00115B5C" w:rsidRDefault="00115B5C" w:rsidP="00115B5C">
      <w:pPr>
        <w:pStyle w:val="Textkrper"/>
      </w:pPr>
      <w:r>
        <w:t>Die mit Beschluss vom 03.12.2015 geänderten Bestimmungen treten am 01.01.2016 in Kraft</w:t>
      </w:r>
      <w:r w:rsidR="005140AE">
        <w:rPr>
          <w:rStyle w:val="Funotenzeichen"/>
        </w:rPr>
        <w:footnoteReference w:id="7"/>
      </w:r>
    </w:p>
    <w:p w:rsidR="00115B5C" w:rsidRDefault="00115B5C" w:rsidP="00DF5386">
      <w:pPr>
        <w:pStyle w:val="Textkrper"/>
        <w:tabs>
          <w:tab w:val="left" w:pos="4536"/>
        </w:tabs>
      </w:pPr>
    </w:p>
    <w:p w:rsidR="00A20512" w:rsidRDefault="00A20512" w:rsidP="00DF5386">
      <w:pPr>
        <w:pStyle w:val="Textkrper"/>
        <w:tabs>
          <w:tab w:val="left" w:pos="4536"/>
        </w:tabs>
      </w:pPr>
      <w:r>
        <w:t>Der Gemeindepräsident</w:t>
      </w:r>
      <w:r>
        <w:tab/>
        <w:t>Die Aktuarin</w:t>
      </w:r>
    </w:p>
    <w:p w:rsidR="00A20512" w:rsidRDefault="00A20512" w:rsidP="00DF5386">
      <w:pPr>
        <w:pStyle w:val="Textkrper"/>
        <w:tabs>
          <w:tab w:val="left" w:pos="4536"/>
        </w:tabs>
      </w:pPr>
    </w:p>
    <w:p w:rsidR="00CB0B35" w:rsidRDefault="00CB0B35" w:rsidP="00DF5386">
      <w:pPr>
        <w:pStyle w:val="Textkrper"/>
        <w:tabs>
          <w:tab w:val="left" w:pos="4536"/>
        </w:tabs>
      </w:pPr>
    </w:p>
    <w:p w:rsidR="00115B5C" w:rsidRPr="00154510" w:rsidRDefault="00115B5C" w:rsidP="00DF5386">
      <w:pPr>
        <w:pStyle w:val="Textkrper"/>
        <w:tabs>
          <w:tab w:val="left" w:pos="4536"/>
        </w:tabs>
      </w:pPr>
      <w:r>
        <w:t>Hp. Sonderegger</w:t>
      </w:r>
      <w:r w:rsidR="00A20512">
        <w:tab/>
        <w:t>M. Hartmann</w:t>
      </w:r>
    </w:p>
    <w:sectPr w:rsidR="00115B5C" w:rsidRPr="00154510" w:rsidSect="0037167D"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A3" w:rsidRDefault="00C15AA3" w:rsidP="009B4C8C">
      <w:r>
        <w:separator/>
      </w:r>
    </w:p>
  </w:endnote>
  <w:endnote w:type="continuationSeparator" w:id="0">
    <w:p w:rsidR="00C15AA3" w:rsidRDefault="00C15AA3" w:rsidP="009B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C0" w:rsidRDefault="001D1AC0">
    <w:pPr>
      <w:pStyle w:val="Fuzeile"/>
    </w:pPr>
    <w:r>
      <w:t xml:space="preserve">- </w:t>
    </w:r>
    <w:sdt>
      <w:sdtPr>
        <w:id w:val="1870874220"/>
        <w:docPartObj>
          <w:docPartGallery w:val="Page Numbers (Bottom of Page)"/>
          <w:docPartUnique/>
        </w:docPartObj>
      </w:sdtPr>
      <w:sdtContent>
        <w:r w:rsidR="00CE67A1">
          <w:fldChar w:fldCharType="begin"/>
        </w:r>
        <w:r>
          <w:instrText>PAGE   \* MERGEFORMAT</w:instrText>
        </w:r>
        <w:r w:rsidR="00CE67A1">
          <w:fldChar w:fldCharType="separate"/>
        </w:r>
        <w:r w:rsidR="002669EC" w:rsidRPr="002669EC">
          <w:rPr>
            <w:lang w:val="de-DE"/>
          </w:rPr>
          <w:t>7</w:t>
        </w:r>
        <w:r w:rsidR="00CE67A1">
          <w:fldChar w:fldCharType="end"/>
        </w:r>
        <w:r>
          <w:t xml:space="preserve"> 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C0" w:rsidRDefault="001D1AC0" w:rsidP="00BC5CC4">
    <w:pPr>
      <w:pStyle w:val="Fuzeile"/>
    </w:pPr>
    <w:r>
      <w:t xml:space="preserve">- </w:t>
    </w:r>
    <w:sdt>
      <w:sdtPr>
        <w:id w:val="-412539869"/>
        <w:docPartObj>
          <w:docPartGallery w:val="Page Numbers (Bottom of Page)"/>
          <w:docPartUnique/>
        </w:docPartObj>
      </w:sdtPr>
      <w:sdtContent>
        <w:r w:rsidR="00CE67A1">
          <w:fldChar w:fldCharType="begin"/>
        </w:r>
        <w:r>
          <w:instrText>PAGE   \* MERGEFORMAT</w:instrText>
        </w:r>
        <w:r w:rsidR="00CE67A1">
          <w:fldChar w:fldCharType="separate"/>
        </w:r>
        <w:r w:rsidRPr="00BC5CC4">
          <w:rPr>
            <w:lang w:val="de-DE"/>
          </w:rPr>
          <w:t>3</w:t>
        </w:r>
        <w:r w:rsidR="00CE67A1">
          <w:fldChar w:fldCharType="end"/>
        </w:r>
      </w:sdtContent>
    </w:sdt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A3" w:rsidRDefault="00C15AA3" w:rsidP="009B4C8C">
      <w:r>
        <w:separator/>
      </w:r>
    </w:p>
  </w:footnote>
  <w:footnote w:type="continuationSeparator" w:id="0">
    <w:p w:rsidR="00C15AA3" w:rsidRDefault="00C15AA3" w:rsidP="009B4C8C">
      <w:r>
        <w:continuationSeparator/>
      </w:r>
    </w:p>
  </w:footnote>
  <w:footnote w:id="1">
    <w:p w:rsidR="0037167D" w:rsidRDefault="0037167D" w:rsidP="0037167D">
      <w:pPr>
        <w:pStyle w:val="Funotentext"/>
      </w:pPr>
      <w:r>
        <w:rPr>
          <w:rStyle w:val="Funotenzeichen"/>
        </w:rPr>
        <w:footnoteRef/>
      </w:r>
      <w:r>
        <w:t xml:space="preserve"> Fassung gemäss Beschluss vom 03.12.2015</w:t>
      </w:r>
    </w:p>
  </w:footnote>
  <w:footnote w:id="2">
    <w:p w:rsidR="0037167D" w:rsidRDefault="0037167D" w:rsidP="0037167D">
      <w:pPr>
        <w:pStyle w:val="Funotentext"/>
      </w:pPr>
      <w:r>
        <w:rPr>
          <w:rStyle w:val="Funotenzeichen"/>
        </w:rPr>
        <w:footnoteRef/>
      </w:r>
      <w:r>
        <w:t xml:space="preserve"> Fassung gemäss Beschluss vom 03.12.2015</w:t>
      </w:r>
    </w:p>
  </w:footnote>
  <w:footnote w:id="3">
    <w:p w:rsidR="0037167D" w:rsidRDefault="0037167D" w:rsidP="0037167D">
      <w:pPr>
        <w:pStyle w:val="Funotentext"/>
      </w:pPr>
      <w:r>
        <w:rPr>
          <w:rStyle w:val="Funotenzeichen"/>
        </w:rPr>
        <w:footnoteRef/>
      </w:r>
      <w:r>
        <w:t xml:space="preserve"> Fassung gemäss Beschluss vom 03.12.2015</w:t>
      </w:r>
    </w:p>
  </w:footnote>
  <w:footnote w:id="4">
    <w:p w:rsidR="00115B5C" w:rsidRDefault="00115B5C" w:rsidP="0037167D">
      <w:pPr>
        <w:pStyle w:val="Funotentext"/>
      </w:pPr>
      <w:r>
        <w:rPr>
          <w:rStyle w:val="Funotenzeichen"/>
        </w:rPr>
        <w:footnoteRef/>
      </w:r>
      <w:r>
        <w:t xml:space="preserve"> Fassung gemäss Beschluss vom 03.12.2015</w:t>
      </w:r>
    </w:p>
  </w:footnote>
  <w:footnote w:id="5">
    <w:p w:rsidR="00115B5C" w:rsidRDefault="00115B5C" w:rsidP="0037167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7167D">
        <w:t>Fassung gemäss</w:t>
      </w:r>
      <w:r>
        <w:t xml:space="preserve"> Beschluss vom 03.12.2015</w:t>
      </w:r>
    </w:p>
  </w:footnote>
  <w:footnote w:id="6">
    <w:p w:rsidR="0037167D" w:rsidRPr="0037167D" w:rsidRDefault="0037167D" w:rsidP="0037167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7167D">
        <w:t>Fassung gemäss</w:t>
      </w:r>
      <w:r>
        <w:t xml:space="preserve"> Beschluss vom 03.12.2015</w:t>
      </w:r>
    </w:p>
  </w:footnote>
  <w:footnote w:id="7">
    <w:p w:rsidR="005140AE" w:rsidRDefault="005140AE" w:rsidP="005140AE">
      <w:pPr>
        <w:pStyle w:val="Funotentext"/>
      </w:pPr>
      <w:r>
        <w:rPr>
          <w:rStyle w:val="Funotenzeichen"/>
        </w:rPr>
        <w:footnoteRef/>
      </w:r>
      <w:r>
        <w:t xml:space="preserve"> Fassung gemäss Beschluss vom 03.12.2015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7"/>
      <w:gridCol w:w="7023"/>
    </w:tblGrid>
    <w:tr w:rsidR="001D1AC0" w:rsidTr="001D1AC0">
      <w:tc>
        <w:tcPr>
          <w:tcW w:w="1271" w:type="dxa"/>
        </w:tcPr>
        <w:p w:rsidR="001D1AC0" w:rsidRDefault="001D1AC0" w:rsidP="00AC3F3F">
          <w:pPr>
            <w:pStyle w:val="Kopfzeile"/>
            <w:tabs>
              <w:tab w:val="clear" w:pos="4536"/>
            </w:tabs>
            <w:rPr>
              <w:rFonts w:ascii="Century Gothic" w:hAnsi="Century Gothic"/>
            </w:rPr>
          </w:pPr>
          <w:r w:rsidRPr="006D7251">
            <w:rPr>
              <w:rFonts w:ascii="Arial Narrow" w:hAnsi="Arial Narrow"/>
              <w:noProof/>
              <w:sz w:val="40"/>
            </w:rPr>
            <w:drawing>
              <wp:inline distT="0" distB="0" distL="0" distR="0">
                <wp:extent cx="1040084" cy="1140737"/>
                <wp:effectExtent l="0" t="0" r="8255" b="2540"/>
                <wp:docPr id="4" name="Grafik 4" descr="438px-Furna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438px-Furna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076" cy="116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</w:tcPr>
        <w:p w:rsidR="001D1AC0" w:rsidRPr="00B04CDE" w:rsidRDefault="001D1AC0" w:rsidP="00AC3F3F">
          <w:pPr>
            <w:pStyle w:val="Kopfzeile"/>
            <w:rPr>
              <w:rFonts w:asciiTheme="minorHAnsi" w:hAnsiTheme="minorHAnsi"/>
              <w:b/>
              <w:sz w:val="48"/>
            </w:rPr>
          </w:pPr>
          <w:r w:rsidRPr="00B04CDE">
            <w:rPr>
              <w:rFonts w:asciiTheme="minorHAnsi" w:hAnsiTheme="minorHAnsi"/>
              <w:b/>
              <w:sz w:val="48"/>
            </w:rPr>
            <w:t>Gemeinde Furna</w:t>
          </w:r>
        </w:p>
        <w:p w:rsidR="001D1AC0" w:rsidRPr="00B04CDE" w:rsidRDefault="001D1AC0" w:rsidP="00AC3F3F">
          <w:pPr>
            <w:pStyle w:val="Kopfzeile"/>
            <w:rPr>
              <w:rFonts w:asciiTheme="minorHAnsi" w:hAnsiTheme="minorHAnsi"/>
              <w:sz w:val="48"/>
            </w:rPr>
          </w:pPr>
        </w:p>
      </w:tc>
    </w:tr>
  </w:tbl>
  <w:p w:rsidR="001D1AC0" w:rsidRDefault="001D1AC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C0" w:rsidRPr="00735949" w:rsidRDefault="001D1AC0" w:rsidP="0073594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FF2"/>
    <w:multiLevelType w:val="hybridMultilevel"/>
    <w:tmpl w:val="06B0FF62"/>
    <w:lvl w:ilvl="0" w:tplc="F9A86AC4">
      <w:numFmt w:val="bullet"/>
      <w:pStyle w:val="Listenabsatz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C7BA4"/>
    <w:multiLevelType w:val="multilevel"/>
    <w:tmpl w:val="A226F340"/>
    <w:numStyleLink w:val="NummerierteListe"/>
  </w:abstractNum>
  <w:abstractNum w:abstractNumId="2">
    <w:nsid w:val="0F710E0E"/>
    <w:multiLevelType w:val="hybridMultilevel"/>
    <w:tmpl w:val="56043D2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0060"/>
    <w:multiLevelType w:val="multilevel"/>
    <w:tmpl w:val="A226F340"/>
    <w:styleLink w:val="NummerierteListe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44E8"/>
    <w:multiLevelType w:val="hybridMultilevel"/>
    <w:tmpl w:val="80FE2CFC"/>
    <w:lvl w:ilvl="0" w:tplc="5B761D2A">
      <w:start w:val="1"/>
      <w:numFmt w:val="upperRoman"/>
      <w:pStyle w:val="Titel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93852"/>
    <w:multiLevelType w:val="hybridMultilevel"/>
    <w:tmpl w:val="27B00B64"/>
    <w:lvl w:ilvl="0" w:tplc="6F06C9C8">
      <w:start w:val="1"/>
      <w:numFmt w:val="lowerLetter"/>
      <w:pStyle w:val="NummerierteListe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55999"/>
    <w:multiLevelType w:val="hybridMultilevel"/>
    <w:tmpl w:val="0B700D2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4C41"/>
    <w:multiLevelType w:val="hybridMultilevel"/>
    <w:tmpl w:val="4E464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A42F0"/>
    <w:multiLevelType w:val="hybridMultilevel"/>
    <w:tmpl w:val="4224EA80"/>
    <w:lvl w:ilvl="0" w:tplc="75B4E10C">
      <w:start w:val="3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39D2D78"/>
    <w:multiLevelType w:val="hybridMultilevel"/>
    <w:tmpl w:val="1B749A92"/>
    <w:lvl w:ilvl="0" w:tplc="C958D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B1621"/>
    <w:multiLevelType w:val="hybridMultilevel"/>
    <w:tmpl w:val="3E128EB8"/>
    <w:lvl w:ilvl="0" w:tplc="6158F338">
      <w:start w:val="1"/>
      <w:numFmt w:val="upperRoman"/>
      <w:pStyle w:val="berschrift1"/>
      <w:lvlText w:val="%1."/>
      <w:lvlJc w:val="righ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23A28"/>
    <w:multiLevelType w:val="hybridMultilevel"/>
    <w:tmpl w:val="DED08822"/>
    <w:lvl w:ilvl="0" w:tplc="2AE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25D42"/>
    <w:multiLevelType w:val="hybridMultilevel"/>
    <w:tmpl w:val="046CDE78"/>
    <w:lvl w:ilvl="0" w:tplc="6C4E6CD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F72A8D"/>
    <w:multiLevelType w:val="hybridMultilevel"/>
    <w:tmpl w:val="09EC0684"/>
    <w:lvl w:ilvl="0" w:tplc="63368FB2">
      <w:start w:val="1"/>
      <w:numFmt w:val="decimal"/>
      <w:pStyle w:val="Artikel"/>
      <w:lvlText w:val="Art.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F4B5B"/>
    <w:multiLevelType w:val="hybridMultilevel"/>
    <w:tmpl w:val="52C481E2"/>
    <w:lvl w:ilvl="0" w:tplc="0386A4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47581"/>
    <w:multiLevelType w:val="hybridMultilevel"/>
    <w:tmpl w:val="73E6B13C"/>
    <w:lvl w:ilvl="0" w:tplc="D3F6399E">
      <w:start w:val="1"/>
      <w:numFmt w:val="lowerLetter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42E38"/>
    <w:multiLevelType w:val="hybridMultilevel"/>
    <w:tmpl w:val="A484E948"/>
    <w:lvl w:ilvl="0" w:tplc="9A64966A">
      <w:start w:val="1"/>
      <w:numFmt w:val="decimal"/>
      <w:pStyle w:val="berschrift2"/>
      <w:lvlText w:val="Art.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1275A"/>
    <w:multiLevelType w:val="hybridMultilevel"/>
    <w:tmpl w:val="BA20DBEE"/>
    <w:lvl w:ilvl="0" w:tplc="B42459A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5E0551"/>
    <w:multiLevelType w:val="hybridMultilevel"/>
    <w:tmpl w:val="10BECC22"/>
    <w:lvl w:ilvl="0" w:tplc="F4AE44A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6"/>
  </w:num>
  <w:num w:numId="15">
    <w:abstractNumId w:val="10"/>
  </w:num>
  <w:num w:numId="16">
    <w:abstractNumId w:val="5"/>
    <w:lvlOverride w:ilvl="0">
      <w:startOverride w:val="1"/>
    </w:lvlOverride>
  </w:num>
  <w:num w:numId="17">
    <w:abstractNumId w:val="11"/>
  </w:num>
  <w:num w:numId="18">
    <w:abstractNumId w:val="16"/>
  </w:num>
  <w:num w:numId="19">
    <w:abstractNumId w:val="15"/>
  </w:num>
  <w:num w:numId="20">
    <w:abstractNumId w:val="18"/>
  </w:num>
  <w:num w:numId="21">
    <w:abstractNumId w:val="17"/>
  </w:num>
  <w:num w:numId="22">
    <w:abstractNumId w:val="12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5893"/>
    <w:rsid w:val="00007B35"/>
    <w:rsid w:val="00007D7B"/>
    <w:rsid w:val="00013307"/>
    <w:rsid w:val="00020DA9"/>
    <w:rsid w:val="000265C4"/>
    <w:rsid w:val="0003103A"/>
    <w:rsid w:val="00037773"/>
    <w:rsid w:val="00043A75"/>
    <w:rsid w:val="000454D5"/>
    <w:rsid w:val="000759D6"/>
    <w:rsid w:val="0007720B"/>
    <w:rsid w:val="00094049"/>
    <w:rsid w:val="000B3F5C"/>
    <w:rsid w:val="000C6049"/>
    <w:rsid w:val="000D3B59"/>
    <w:rsid w:val="000D5AB8"/>
    <w:rsid w:val="00112A3E"/>
    <w:rsid w:val="00115B5C"/>
    <w:rsid w:val="0012528F"/>
    <w:rsid w:val="00131C41"/>
    <w:rsid w:val="00154510"/>
    <w:rsid w:val="00166FEF"/>
    <w:rsid w:val="00170731"/>
    <w:rsid w:val="0017436E"/>
    <w:rsid w:val="001B53DD"/>
    <w:rsid w:val="001B6C47"/>
    <w:rsid w:val="001C4A95"/>
    <w:rsid w:val="001D1AC0"/>
    <w:rsid w:val="001D1E67"/>
    <w:rsid w:val="001D72F7"/>
    <w:rsid w:val="001E3F77"/>
    <w:rsid w:val="001E6364"/>
    <w:rsid w:val="001F4B35"/>
    <w:rsid w:val="00203C8E"/>
    <w:rsid w:val="0021367F"/>
    <w:rsid w:val="00216902"/>
    <w:rsid w:val="00233D1A"/>
    <w:rsid w:val="002412CD"/>
    <w:rsid w:val="00253B45"/>
    <w:rsid w:val="00254AA1"/>
    <w:rsid w:val="002669EC"/>
    <w:rsid w:val="00270184"/>
    <w:rsid w:val="002766B3"/>
    <w:rsid w:val="00297709"/>
    <w:rsid w:val="002A24B7"/>
    <w:rsid w:val="002C0DA9"/>
    <w:rsid w:val="002F5A63"/>
    <w:rsid w:val="00342A5A"/>
    <w:rsid w:val="00363C62"/>
    <w:rsid w:val="00365B4B"/>
    <w:rsid w:val="0037031F"/>
    <w:rsid w:val="0037167D"/>
    <w:rsid w:val="00371BDA"/>
    <w:rsid w:val="003A2D84"/>
    <w:rsid w:val="003A6157"/>
    <w:rsid w:val="003C0432"/>
    <w:rsid w:val="003D5D83"/>
    <w:rsid w:val="003D72DE"/>
    <w:rsid w:val="003F1506"/>
    <w:rsid w:val="003F5ECE"/>
    <w:rsid w:val="003F730C"/>
    <w:rsid w:val="00410228"/>
    <w:rsid w:val="00413D10"/>
    <w:rsid w:val="004228BE"/>
    <w:rsid w:val="00431C46"/>
    <w:rsid w:val="004355E1"/>
    <w:rsid w:val="00444E84"/>
    <w:rsid w:val="00446183"/>
    <w:rsid w:val="004519B4"/>
    <w:rsid w:val="00476397"/>
    <w:rsid w:val="00492B5B"/>
    <w:rsid w:val="00493B87"/>
    <w:rsid w:val="004A50C2"/>
    <w:rsid w:val="004B2D29"/>
    <w:rsid w:val="004B5893"/>
    <w:rsid w:val="004C3032"/>
    <w:rsid w:val="004C45A2"/>
    <w:rsid w:val="004C7805"/>
    <w:rsid w:val="00506ACF"/>
    <w:rsid w:val="005140AE"/>
    <w:rsid w:val="005A4CA1"/>
    <w:rsid w:val="00600F95"/>
    <w:rsid w:val="006075B1"/>
    <w:rsid w:val="00611D1C"/>
    <w:rsid w:val="006517B7"/>
    <w:rsid w:val="00657F78"/>
    <w:rsid w:val="006618AE"/>
    <w:rsid w:val="00664591"/>
    <w:rsid w:val="00684D79"/>
    <w:rsid w:val="006C7377"/>
    <w:rsid w:val="006D1FA7"/>
    <w:rsid w:val="006F37BE"/>
    <w:rsid w:val="006F79EC"/>
    <w:rsid w:val="0072494A"/>
    <w:rsid w:val="00735949"/>
    <w:rsid w:val="007365B2"/>
    <w:rsid w:val="007424FC"/>
    <w:rsid w:val="0076693F"/>
    <w:rsid w:val="00767C16"/>
    <w:rsid w:val="00770D52"/>
    <w:rsid w:val="007857B4"/>
    <w:rsid w:val="0079700F"/>
    <w:rsid w:val="00797C60"/>
    <w:rsid w:val="007B1830"/>
    <w:rsid w:val="007B4385"/>
    <w:rsid w:val="007D107C"/>
    <w:rsid w:val="00800310"/>
    <w:rsid w:val="0080109B"/>
    <w:rsid w:val="00820B28"/>
    <w:rsid w:val="00822ED9"/>
    <w:rsid w:val="00825689"/>
    <w:rsid w:val="0083630B"/>
    <w:rsid w:val="008442F1"/>
    <w:rsid w:val="008522B5"/>
    <w:rsid w:val="008542FB"/>
    <w:rsid w:val="008B26E4"/>
    <w:rsid w:val="008C40EA"/>
    <w:rsid w:val="008E10C3"/>
    <w:rsid w:val="008E6906"/>
    <w:rsid w:val="00916C3C"/>
    <w:rsid w:val="0095539D"/>
    <w:rsid w:val="009632F3"/>
    <w:rsid w:val="009835F6"/>
    <w:rsid w:val="009A4601"/>
    <w:rsid w:val="009B4C8C"/>
    <w:rsid w:val="009D7796"/>
    <w:rsid w:val="009F1DF3"/>
    <w:rsid w:val="009F2085"/>
    <w:rsid w:val="00A07B2A"/>
    <w:rsid w:val="00A20512"/>
    <w:rsid w:val="00A2102D"/>
    <w:rsid w:val="00A538E3"/>
    <w:rsid w:val="00A77FD9"/>
    <w:rsid w:val="00A81CA3"/>
    <w:rsid w:val="00A97AF5"/>
    <w:rsid w:val="00AB1CC2"/>
    <w:rsid w:val="00AB2990"/>
    <w:rsid w:val="00AB464B"/>
    <w:rsid w:val="00AB6C85"/>
    <w:rsid w:val="00AC3F3F"/>
    <w:rsid w:val="00B04CDE"/>
    <w:rsid w:val="00B109F5"/>
    <w:rsid w:val="00B369C1"/>
    <w:rsid w:val="00B42335"/>
    <w:rsid w:val="00B42805"/>
    <w:rsid w:val="00B63EFD"/>
    <w:rsid w:val="00B65C3C"/>
    <w:rsid w:val="00B8107B"/>
    <w:rsid w:val="00B8220F"/>
    <w:rsid w:val="00B95052"/>
    <w:rsid w:val="00BA7022"/>
    <w:rsid w:val="00BC5CC4"/>
    <w:rsid w:val="00C04582"/>
    <w:rsid w:val="00C15AA3"/>
    <w:rsid w:val="00C203FE"/>
    <w:rsid w:val="00C23D7B"/>
    <w:rsid w:val="00C2740A"/>
    <w:rsid w:val="00C437EF"/>
    <w:rsid w:val="00C72586"/>
    <w:rsid w:val="00C72CB1"/>
    <w:rsid w:val="00C73B38"/>
    <w:rsid w:val="00C860D5"/>
    <w:rsid w:val="00CB0B35"/>
    <w:rsid w:val="00CB1E73"/>
    <w:rsid w:val="00CD5AA3"/>
    <w:rsid w:val="00CD5BA7"/>
    <w:rsid w:val="00CD69E7"/>
    <w:rsid w:val="00CE67A1"/>
    <w:rsid w:val="00CF44E2"/>
    <w:rsid w:val="00D257C6"/>
    <w:rsid w:val="00D62458"/>
    <w:rsid w:val="00D66E72"/>
    <w:rsid w:val="00D85763"/>
    <w:rsid w:val="00D92AF6"/>
    <w:rsid w:val="00D93BAD"/>
    <w:rsid w:val="00DA3041"/>
    <w:rsid w:val="00DB049F"/>
    <w:rsid w:val="00DB05CC"/>
    <w:rsid w:val="00DF5386"/>
    <w:rsid w:val="00E07761"/>
    <w:rsid w:val="00E10C11"/>
    <w:rsid w:val="00E32892"/>
    <w:rsid w:val="00E53356"/>
    <w:rsid w:val="00E62698"/>
    <w:rsid w:val="00E642A3"/>
    <w:rsid w:val="00ED3FF0"/>
    <w:rsid w:val="00EE15D1"/>
    <w:rsid w:val="00F01801"/>
    <w:rsid w:val="00F363B5"/>
    <w:rsid w:val="00F54D3F"/>
    <w:rsid w:val="00F56B19"/>
    <w:rsid w:val="00F653D0"/>
    <w:rsid w:val="00F661D1"/>
    <w:rsid w:val="00F92DFA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0EA"/>
    <w:pPr>
      <w:spacing w:before="60" w:after="60"/>
    </w:pPr>
    <w:rPr>
      <w:rFonts w:ascii="Calibri" w:hAnsi="Calibri"/>
      <w:sz w:val="24"/>
    </w:rPr>
  </w:style>
  <w:style w:type="paragraph" w:styleId="berschrift1">
    <w:name w:val="heading 1"/>
    <w:basedOn w:val="Textkrper"/>
    <w:next w:val="Textkrper"/>
    <w:link w:val="berschrift1Zchn"/>
    <w:qFormat/>
    <w:rsid w:val="001D1AC0"/>
    <w:pPr>
      <w:keepNext/>
      <w:numPr>
        <w:numId w:val="15"/>
      </w:numPr>
      <w:spacing w:before="480" w:after="240"/>
      <w:ind w:left="0" w:firstLine="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1AC0"/>
    <w:pPr>
      <w:keepNext/>
      <w:numPr>
        <w:numId w:val="18"/>
      </w:numPr>
      <w:spacing w:before="240" w:after="120"/>
      <w:ind w:left="397" w:hanging="907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link w:val="berschrift3Zchn"/>
    <w:qFormat/>
    <w:rsid w:val="00797C60"/>
    <w:pPr>
      <w:keepNext/>
      <w:spacing w:before="240" w:after="120"/>
      <w:jc w:val="both"/>
      <w:outlineLvl w:val="2"/>
    </w:pPr>
    <w:rPr>
      <w:b/>
      <w:sz w:val="28"/>
    </w:rPr>
  </w:style>
  <w:style w:type="paragraph" w:styleId="berschrift4">
    <w:name w:val="heading 4"/>
    <w:basedOn w:val="Textkrper"/>
    <w:next w:val="Textkrper"/>
    <w:link w:val="berschrift4Zchn"/>
    <w:qFormat/>
    <w:rsid w:val="008C40EA"/>
    <w:pPr>
      <w:keepNext/>
      <w:numPr>
        <w:numId w:val="19"/>
      </w:numPr>
      <w:ind w:left="357" w:hanging="357"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rsid w:val="0037167D"/>
    <w:pPr>
      <w:spacing w:after="120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37167D"/>
    <w:rPr>
      <w:rFonts w:ascii="Calibri" w:hAnsi="Calibri"/>
      <w:sz w:val="24"/>
    </w:rPr>
  </w:style>
  <w:style w:type="paragraph" w:styleId="Listenabsatz">
    <w:name w:val="List Paragraph"/>
    <w:basedOn w:val="Textkrper"/>
    <w:uiPriority w:val="34"/>
    <w:qFormat/>
    <w:rsid w:val="003C0432"/>
    <w:pPr>
      <w:numPr>
        <w:numId w:val="3"/>
      </w:numPr>
      <w:spacing w:before="60" w:after="60"/>
      <w:ind w:left="426" w:hanging="284"/>
    </w:pPr>
  </w:style>
  <w:style w:type="table" w:styleId="HellesRaster">
    <w:name w:val="Light Grid"/>
    <w:basedOn w:val="NormaleTabelle"/>
    <w:uiPriority w:val="62"/>
    <w:rsid w:val="006618A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Theme="majorEastAsia" w:hAnsi="Arial" w:cstheme="majorBidi"/>
        <w:b/>
        <w:bCs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="Arial" w:eastAsiaTheme="majorEastAsia" w:hAnsi="Arial" w:cstheme="majorBidi"/>
        <w:b w:val="0"/>
        <w:bCs/>
        <w:sz w:val="22"/>
      </w:rPr>
    </w:tblStylePr>
    <w:tblStylePr w:type="lastCol">
      <w:rPr>
        <w:rFonts w:ascii="Arial" w:eastAsiaTheme="majorEastAsia" w:hAnsi="Arial" w:cstheme="majorBidi"/>
        <w:b w:val="0"/>
        <w:bCs/>
        <w:sz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rsid w:val="001D1AC0"/>
    <w:rPr>
      <w:rFonts w:ascii="Calibri" w:hAnsi="Calibri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97C60"/>
    <w:rPr>
      <w:rFonts w:ascii="Calibri" w:hAnsi="Calibri"/>
      <w:b/>
      <w:sz w:val="28"/>
    </w:rPr>
  </w:style>
  <w:style w:type="paragraph" w:styleId="Kopfzeile">
    <w:name w:val="header"/>
    <w:basedOn w:val="Standard"/>
    <w:link w:val="KopfzeileZchn"/>
    <w:rsid w:val="004C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C45A2"/>
    <w:rPr>
      <w:szCs w:val="20"/>
    </w:rPr>
  </w:style>
  <w:style w:type="paragraph" w:styleId="Fuzeile">
    <w:name w:val="footer"/>
    <w:basedOn w:val="Standard"/>
    <w:link w:val="FuzeileZchn"/>
    <w:autoRedefine/>
    <w:uiPriority w:val="99"/>
    <w:rsid w:val="00BC5CC4"/>
    <w:pPr>
      <w:tabs>
        <w:tab w:val="center" w:pos="4536"/>
        <w:tab w:val="right" w:pos="9072"/>
      </w:tabs>
      <w:spacing w:after="120"/>
      <w:jc w:val="center"/>
    </w:pPr>
    <w:rPr>
      <w:rFonts w:asciiTheme="minorHAnsi" w:hAnsiTheme="minorHAnsi"/>
      <w:noProof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C5CC4"/>
    <w:rPr>
      <w:rFonts w:asciiTheme="minorHAnsi" w:hAnsiTheme="minorHAnsi"/>
      <w:noProof/>
      <w:sz w:val="24"/>
      <w:szCs w:val="24"/>
    </w:rPr>
  </w:style>
  <w:style w:type="character" w:styleId="Seitenzahl">
    <w:name w:val="page number"/>
    <w:basedOn w:val="Absatz-Standardschriftart"/>
    <w:rsid w:val="0079700F"/>
    <w:rPr>
      <w:rFonts w:ascii="Calibri" w:hAnsi="Calibri"/>
      <w:sz w:val="24"/>
    </w:rPr>
  </w:style>
  <w:style w:type="paragraph" w:styleId="Titel">
    <w:name w:val="Title"/>
    <w:basedOn w:val="Standard"/>
    <w:link w:val="TitelZchn"/>
    <w:qFormat/>
    <w:rsid w:val="00CF44E2"/>
    <w:pPr>
      <w:numPr>
        <w:numId w:val="4"/>
      </w:numPr>
      <w:spacing w:before="240" w:after="360"/>
      <w:ind w:left="714" w:hanging="357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CF44E2"/>
    <w:rPr>
      <w:rFonts w:ascii="Calibri" w:hAnsi="Calibri"/>
      <w:b/>
      <w:sz w:val="40"/>
    </w:rPr>
  </w:style>
  <w:style w:type="paragraph" w:styleId="Textkrper">
    <w:name w:val="Body Text"/>
    <w:basedOn w:val="Standard"/>
    <w:link w:val="TextkrperZchn"/>
    <w:rsid w:val="003A2D84"/>
    <w:pPr>
      <w:spacing w:before="120" w:after="120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3A2D84"/>
    <w:rPr>
      <w:rFonts w:ascii="Calibri" w:hAnsi="Calibri"/>
      <w:sz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C45A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C45A2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4C45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C45A2"/>
    <w:rPr>
      <w:rFonts w:ascii="Tahoma" w:hAnsi="Tahoma" w:cs="Tahoma"/>
      <w:sz w:val="16"/>
      <w:szCs w:val="16"/>
    </w:rPr>
  </w:style>
  <w:style w:type="paragraph" w:customStyle="1" w:styleId="Betreffzeile">
    <w:name w:val="Betreffzeile"/>
    <w:basedOn w:val="Standard"/>
    <w:rsid w:val="004C45A2"/>
  </w:style>
  <w:style w:type="paragraph" w:customStyle="1" w:styleId="Bezugszeichentext">
    <w:name w:val="Bezugszeichentext"/>
    <w:basedOn w:val="Standard"/>
    <w:rsid w:val="004C45A2"/>
  </w:style>
  <w:style w:type="character" w:customStyle="1" w:styleId="Traktandum">
    <w:name w:val="Traktandum"/>
    <w:basedOn w:val="Absatz-Standardschriftart"/>
    <w:qFormat/>
    <w:rsid w:val="004C45A2"/>
    <w:rPr>
      <w:rFonts w:ascii="Arial" w:hAnsi="Arial"/>
      <w:b/>
      <w:bCs/>
      <w:sz w:val="22"/>
    </w:rPr>
  </w:style>
  <w:style w:type="paragraph" w:customStyle="1" w:styleId="TraktText">
    <w:name w:val="Trakt Text"/>
    <w:basedOn w:val="Standard"/>
    <w:qFormat/>
    <w:rsid w:val="004C45A2"/>
    <w:pPr>
      <w:ind w:left="74"/>
    </w:pPr>
  </w:style>
  <w:style w:type="paragraph" w:customStyle="1" w:styleId="Termin">
    <w:name w:val="Termin"/>
    <w:basedOn w:val="Textkrper"/>
    <w:qFormat/>
    <w:rsid w:val="004C45A2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1D1AC0"/>
    <w:rPr>
      <w:rFonts w:ascii="Calibri" w:eastAsiaTheme="majorEastAsia" w:hAnsi="Calibri" w:cstheme="majorBidi"/>
      <w:b/>
      <w:sz w:val="40"/>
      <w:szCs w:val="32"/>
    </w:rPr>
  </w:style>
  <w:style w:type="paragraph" w:customStyle="1" w:styleId="Margin">
    <w:name w:val="Margin"/>
    <w:autoRedefine/>
    <w:qFormat/>
    <w:rsid w:val="00B8220F"/>
    <w:pPr>
      <w:keepNext/>
      <w:framePr w:w="1985" w:hSpace="284" w:wrap="around" w:vAnchor="text" w:hAnchor="page" w:xAlign="outside" w:y="1"/>
    </w:pPr>
    <w:rPr>
      <w:rFonts w:ascii="Calibri" w:hAnsi="Calibri"/>
      <w:b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9B4C8C"/>
    <w:rPr>
      <w:vertAlign w:val="superscript"/>
    </w:rPr>
  </w:style>
  <w:style w:type="table" w:styleId="Tabellengitternetz">
    <w:name w:val="Table Grid"/>
    <w:basedOn w:val="NormaleTabelle"/>
    <w:rsid w:val="0073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ummerierteListe">
    <w:name w:val="Nummerierte Liste"/>
    <w:basedOn w:val="KeineListe"/>
    <w:rsid w:val="00216902"/>
    <w:pPr>
      <w:numPr>
        <w:numId w:val="6"/>
      </w:numPr>
    </w:pPr>
  </w:style>
  <w:style w:type="paragraph" w:customStyle="1" w:styleId="NummerierteListe1">
    <w:name w:val="Nummerierte Liste1"/>
    <w:basedOn w:val="Textkrper"/>
    <w:autoRedefine/>
    <w:qFormat/>
    <w:rsid w:val="002C0DA9"/>
    <w:pPr>
      <w:numPr>
        <w:numId w:val="5"/>
      </w:numPr>
    </w:pPr>
  </w:style>
  <w:style w:type="paragraph" w:customStyle="1" w:styleId="Artikel">
    <w:name w:val="Artikel"/>
    <w:basedOn w:val="Textkrper"/>
    <w:next w:val="Textkrper"/>
    <w:autoRedefine/>
    <w:rsid w:val="0003103A"/>
    <w:pPr>
      <w:keepNext/>
      <w:numPr>
        <w:numId w:val="10"/>
      </w:numPr>
      <w:spacing w:before="240"/>
      <w:ind w:left="284" w:hanging="851"/>
    </w:pPr>
    <w:rPr>
      <w:b/>
      <w:bCs/>
      <w:i/>
    </w:rPr>
  </w:style>
  <w:style w:type="paragraph" w:customStyle="1" w:styleId="Titel1">
    <w:name w:val="Titel1"/>
    <w:basedOn w:val="Titel"/>
    <w:next w:val="Textkrper"/>
    <w:rsid w:val="00664591"/>
    <w:pPr>
      <w:keepNext/>
      <w:ind w:left="357"/>
      <w:jc w:val="center"/>
    </w:pPr>
    <w:rPr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03C8E"/>
    <w:pPr>
      <w:keepLines/>
      <w:numPr>
        <w:numId w:val="0"/>
      </w:numPr>
      <w:spacing w:before="0"/>
      <w:outlineLvl w:val="9"/>
    </w:pPr>
    <w:rPr>
      <w:b w:val="0"/>
      <w:sz w:val="32"/>
    </w:rPr>
  </w:style>
  <w:style w:type="paragraph" w:styleId="Verzeichnis3">
    <w:name w:val="toc 3"/>
    <w:basedOn w:val="Standard"/>
    <w:next w:val="Standard"/>
    <w:autoRedefine/>
    <w:uiPriority w:val="39"/>
    <w:unhideWhenUsed/>
    <w:rsid w:val="00C73B38"/>
    <w:pPr>
      <w:spacing w:after="100"/>
      <w:ind w:left="480"/>
    </w:pPr>
  </w:style>
  <w:style w:type="paragraph" w:styleId="Verzeichnis1">
    <w:name w:val="toc 1"/>
    <w:basedOn w:val="Standard"/>
    <w:next w:val="Standard"/>
    <w:autoRedefine/>
    <w:uiPriority w:val="39"/>
    <w:unhideWhenUsed/>
    <w:rsid w:val="00203C8E"/>
    <w:pPr>
      <w:tabs>
        <w:tab w:val="left" w:pos="480"/>
        <w:tab w:val="right" w:leader="dot" w:pos="8664"/>
      </w:tabs>
      <w:spacing w:before="0" w:after="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C73B38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203C8E"/>
    <w:pPr>
      <w:tabs>
        <w:tab w:val="left" w:pos="1100"/>
        <w:tab w:val="right" w:leader="dot" w:pos="8664"/>
      </w:tabs>
      <w:spacing w:after="100"/>
      <w:ind w:left="240"/>
    </w:pPr>
  </w:style>
  <w:style w:type="character" w:customStyle="1" w:styleId="berschrift4Zchn">
    <w:name w:val="Überschrift 4 Zchn"/>
    <w:basedOn w:val="Absatz-Standardschriftart"/>
    <w:link w:val="berschrift4"/>
    <w:rsid w:val="008C40EA"/>
    <w:rPr>
      <w:rFonts w:ascii="Calibri" w:eastAsiaTheme="majorEastAsia" w:hAnsi="Calibri" w:cstheme="majorBidi"/>
      <w:b/>
      <w:iCs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5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15D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15D1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5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5D1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EE15D1"/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F3FA-1AA2-4598-B456-9C490E2C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1116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sonhan</dc:creator>
  <cp:lastModifiedBy>Gemeinde Furna</cp:lastModifiedBy>
  <cp:revision>2</cp:revision>
  <cp:lastPrinted>2015-11-11T09:01:00Z</cp:lastPrinted>
  <dcterms:created xsi:type="dcterms:W3CDTF">2015-12-14T10:50:00Z</dcterms:created>
  <dcterms:modified xsi:type="dcterms:W3CDTF">2015-12-14T10:50:00Z</dcterms:modified>
  <cp:contentStatus>definitive Fassung</cp:contentStatus>
</cp:coreProperties>
</file>